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33C61" w14:textId="5BC95E28" w:rsidR="00392050" w:rsidRDefault="00392050">
      <w:pPr>
        <w:rPr>
          <w:rFonts w:ascii="Times New Roman" w:hAnsi="Times New Roman" w:cs="Times New Roman"/>
          <w:b/>
          <w:bCs/>
          <w:sz w:val="28"/>
          <w:szCs w:val="28"/>
        </w:rPr>
      </w:pPr>
      <w:r w:rsidRPr="00392050">
        <w:rPr>
          <w:rFonts w:ascii="Times New Roman" w:hAnsi="Times New Roman" w:cs="Times New Roman"/>
          <w:b/>
          <w:bCs/>
          <w:sz w:val="28"/>
          <w:szCs w:val="28"/>
        </w:rPr>
        <w:t>HRA – CHANGES TO THE CURRENT PLANNING SYSTEM</w:t>
      </w:r>
    </w:p>
    <w:p w14:paraId="572E1C91" w14:textId="36D7DEBF" w:rsidR="00F214B7" w:rsidRPr="00F214B7" w:rsidRDefault="00F214B7">
      <w:pPr>
        <w:rPr>
          <w:rFonts w:ascii="Times New Roman" w:hAnsi="Times New Roman" w:cs="Times New Roman"/>
          <w:sz w:val="28"/>
          <w:szCs w:val="28"/>
        </w:rPr>
      </w:pPr>
      <w:r>
        <w:rPr>
          <w:rFonts w:ascii="Times New Roman" w:hAnsi="Times New Roman" w:cs="Times New Roman"/>
          <w:b/>
          <w:bCs/>
          <w:sz w:val="28"/>
          <w:szCs w:val="28"/>
        </w:rPr>
        <w:t>HRA RESPONSE TO THE GOVERNMENT CONSULTATION PAPER</w:t>
      </w:r>
    </w:p>
    <w:p w14:paraId="786CF385" w14:textId="2AA814AC" w:rsidR="00392050" w:rsidRDefault="00430192">
      <w:pPr>
        <w:rPr>
          <w:rFonts w:ascii="Times New Roman" w:hAnsi="Times New Roman" w:cs="Times New Roman"/>
          <w:sz w:val="28"/>
          <w:szCs w:val="28"/>
        </w:rPr>
      </w:pPr>
      <w:r>
        <w:rPr>
          <w:rFonts w:ascii="Times New Roman" w:hAnsi="Times New Roman" w:cs="Times New Roman"/>
          <w:sz w:val="28"/>
          <w:szCs w:val="28"/>
        </w:rPr>
        <w:t>Highfield Residents Association is the largest and most active residents’ association in Southampton with several hundred paid-up members. HRA has given careful consideration to the proposals in the August consultation paper. HRA notes and regrets that the proposals take very little account of the needs or interests of local communities. This is particularly to be regretted because in our view the proposals will do little or nothing to improve the supply of new dwellings by the private sector. This is because the planning system is almost irrelevant to the number of new homes built</w:t>
      </w:r>
      <w:r w:rsidR="00F214B7">
        <w:rPr>
          <w:rFonts w:ascii="Times New Roman" w:hAnsi="Times New Roman" w:cs="Times New Roman"/>
          <w:sz w:val="28"/>
          <w:szCs w:val="28"/>
        </w:rPr>
        <w:t>, t</w:t>
      </w:r>
      <w:r>
        <w:rPr>
          <w:rFonts w:ascii="Times New Roman" w:hAnsi="Times New Roman" w:cs="Times New Roman"/>
          <w:sz w:val="28"/>
          <w:szCs w:val="28"/>
        </w:rPr>
        <w:t xml:space="preserve">he main reason for the </w:t>
      </w:r>
      <w:r w:rsidR="00F214B7">
        <w:rPr>
          <w:rFonts w:ascii="Times New Roman" w:hAnsi="Times New Roman" w:cs="Times New Roman"/>
          <w:sz w:val="28"/>
          <w:szCs w:val="28"/>
        </w:rPr>
        <w:t>shortfall being</w:t>
      </w:r>
      <w:r>
        <w:rPr>
          <w:rFonts w:ascii="Times New Roman" w:hAnsi="Times New Roman" w:cs="Times New Roman"/>
          <w:sz w:val="28"/>
          <w:szCs w:val="28"/>
        </w:rPr>
        <w:t xml:space="preserve"> the weak contribution of local authorities </w:t>
      </w:r>
      <w:r w:rsidR="00F214B7">
        <w:rPr>
          <w:rFonts w:ascii="Times New Roman" w:hAnsi="Times New Roman" w:cs="Times New Roman"/>
          <w:sz w:val="28"/>
          <w:szCs w:val="28"/>
        </w:rPr>
        <w:t>(</w:t>
      </w:r>
      <w:r>
        <w:rPr>
          <w:rFonts w:ascii="Times New Roman" w:hAnsi="Times New Roman" w:cs="Times New Roman"/>
          <w:sz w:val="28"/>
          <w:szCs w:val="28"/>
        </w:rPr>
        <w:t>which in turn reflects continuing Government policies</w:t>
      </w:r>
      <w:r w:rsidR="00F214B7">
        <w:rPr>
          <w:rFonts w:ascii="Times New Roman" w:hAnsi="Times New Roman" w:cs="Times New Roman"/>
          <w:sz w:val="28"/>
          <w:szCs w:val="28"/>
        </w:rPr>
        <w:t xml:space="preserve"> unaffected by these proposals)</w:t>
      </w:r>
      <w:r>
        <w:rPr>
          <w:rFonts w:ascii="Times New Roman" w:hAnsi="Times New Roman" w:cs="Times New Roman"/>
          <w:sz w:val="28"/>
          <w:szCs w:val="28"/>
        </w:rPr>
        <w:t>.</w:t>
      </w:r>
    </w:p>
    <w:p w14:paraId="0ADC4F23" w14:textId="39716D2D" w:rsidR="00430192" w:rsidRDefault="00430192">
      <w:pPr>
        <w:rPr>
          <w:rFonts w:ascii="Times New Roman" w:hAnsi="Times New Roman" w:cs="Times New Roman"/>
          <w:sz w:val="28"/>
          <w:szCs w:val="28"/>
        </w:rPr>
      </w:pPr>
      <w:r>
        <w:rPr>
          <w:rFonts w:ascii="Times New Roman" w:hAnsi="Times New Roman" w:cs="Times New Roman"/>
          <w:sz w:val="28"/>
          <w:szCs w:val="28"/>
        </w:rPr>
        <w:t>Our responses to the specific questions in the consultation paper are as follows.</w:t>
      </w:r>
    </w:p>
    <w:p w14:paraId="4F7624E6" w14:textId="731FBEA4" w:rsidR="00430192" w:rsidRDefault="00430192">
      <w:pPr>
        <w:rPr>
          <w:rFonts w:ascii="Times New Roman" w:hAnsi="Times New Roman" w:cs="Times New Roman"/>
          <w:sz w:val="28"/>
          <w:szCs w:val="28"/>
        </w:rPr>
      </w:pPr>
      <w:r>
        <w:rPr>
          <w:rFonts w:ascii="Times New Roman" w:hAnsi="Times New Roman" w:cs="Times New Roman"/>
          <w:b/>
          <w:bCs/>
          <w:sz w:val="28"/>
          <w:szCs w:val="28"/>
        </w:rPr>
        <w:t xml:space="preserve">Q1 </w:t>
      </w:r>
      <w:r>
        <w:rPr>
          <w:rFonts w:ascii="Times New Roman" w:hAnsi="Times New Roman" w:cs="Times New Roman"/>
          <w:sz w:val="28"/>
          <w:szCs w:val="28"/>
        </w:rPr>
        <w:t>The latest household projections averaged over a 10-year period should be used</w:t>
      </w:r>
      <w:r w:rsidR="00F214B7">
        <w:rPr>
          <w:rFonts w:ascii="Times New Roman" w:hAnsi="Times New Roman" w:cs="Times New Roman"/>
          <w:sz w:val="28"/>
          <w:szCs w:val="28"/>
        </w:rPr>
        <w:t xml:space="preserve"> as the baseline</w:t>
      </w:r>
      <w:r>
        <w:rPr>
          <w:rFonts w:ascii="Times New Roman" w:hAnsi="Times New Roman" w:cs="Times New Roman"/>
          <w:sz w:val="28"/>
          <w:szCs w:val="28"/>
        </w:rPr>
        <w:t xml:space="preserve">: using 0.5% of the housing stock implies nothing about need. </w:t>
      </w:r>
    </w:p>
    <w:p w14:paraId="35CA5979" w14:textId="713B6604" w:rsidR="00430192" w:rsidRDefault="00430192">
      <w:pPr>
        <w:rPr>
          <w:rFonts w:ascii="Times New Roman" w:hAnsi="Times New Roman" w:cs="Times New Roman"/>
          <w:sz w:val="28"/>
          <w:szCs w:val="28"/>
        </w:rPr>
      </w:pPr>
      <w:r>
        <w:rPr>
          <w:rFonts w:ascii="Times New Roman" w:hAnsi="Times New Roman" w:cs="Times New Roman"/>
          <w:b/>
          <w:bCs/>
          <w:sz w:val="28"/>
          <w:szCs w:val="28"/>
        </w:rPr>
        <w:t xml:space="preserve">Q2 </w:t>
      </w:r>
      <w:r>
        <w:rPr>
          <w:rFonts w:ascii="Times New Roman" w:hAnsi="Times New Roman" w:cs="Times New Roman"/>
          <w:sz w:val="28"/>
          <w:szCs w:val="28"/>
        </w:rPr>
        <w:t>See Q1.</w:t>
      </w:r>
    </w:p>
    <w:p w14:paraId="0EC593CE" w14:textId="3FD0473F" w:rsidR="00430192" w:rsidRDefault="00430192">
      <w:pPr>
        <w:rPr>
          <w:rFonts w:ascii="Times New Roman" w:hAnsi="Times New Roman" w:cs="Times New Roman"/>
          <w:sz w:val="28"/>
          <w:szCs w:val="28"/>
        </w:rPr>
      </w:pPr>
      <w:r>
        <w:rPr>
          <w:rFonts w:ascii="Times New Roman" w:hAnsi="Times New Roman" w:cs="Times New Roman"/>
          <w:b/>
          <w:bCs/>
          <w:sz w:val="28"/>
          <w:szCs w:val="28"/>
        </w:rPr>
        <w:t xml:space="preserve">Q3 </w:t>
      </w:r>
      <w:r>
        <w:rPr>
          <w:rFonts w:ascii="Times New Roman" w:hAnsi="Times New Roman" w:cs="Times New Roman"/>
          <w:sz w:val="28"/>
          <w:szCs w:val="28"/>
        </w:rPr>
        <w:t xml:space="preserve">No. It is simply illogical to </w:t>
      </w:r>
      <w:r w:rsidR="0073511B">
        <w:rPr>
          <w:rFonts w:ascii="Times New Roman" w:hAnsi="Times New Roman" w:cs="Times New Roman"/>
          <w:sz w:val="28"/>
          <w:szCs w:val="28"/>
        </w:rPr>
        <w:t>relate the affordability ratio to the number of required dwellings. All past experience suggests that changes in house prices are mainly related to changes in the economy (as is currently being seen).</w:t>
      </w:r>
    </w:p>
    <w:p w14:paraId="344A0AA3" w14:textId="2E508113" w:rsidR="0073511B" w:rsidRDefault="0073511B">
      <w:pPr>
        <w:rPr>
          <w:rFonts w:ascii="Times New Roman" w:hAnsi="Times New Roman" w:cs="Times New Roman"/>
          <w:sz w:val="28"/>
          <w:szCs w:val="28"/>
        </w:rPr>
      </w:pPr>
      <w:r>
        <w:rPr>
          <w:rFonts w:ascii="Times New Roman" w:hAnsi="Times New Roman" w:cs="Times New Roman"/>
          <w:b/>
          <w:bCs/>
          <w:sz w:val="28"/>
          <w:szCs w:val="28"/>
        </w:rPr>
        <w:t xml:space="preserve">Q4 </w:t>
      </w:r>
      <w:r>
        <w:rPr>
          <w:rFonts w:ascii="Times New Roman" w:hAnsi="Times New Roman" w:cs="Times New Roman"/>
          <w:sz w:val="28"/>
          <w:szCs w:val="28"/>
        </w:rPr>
        <w:t>HRA sees no case for this (see answer to Q3).</w:t>
      </w:r>
    </w:p>
    <w:p w14:paraId="61747943" w14:textId="02430690" w:rsidR="0073511B" w:rsidRDefault="0073511B">
      <w:pPr>
        <w:rPr>
          <w:rFonts w:ascii="Times New Roman" w:hAnsi="Times New Roman" w:cs="Times New Roman"/>
          <w:sz w:val="28"/>
          <w:szCs w:val="28"/>
        </w:rPr>
      </w:pPr>
      <w:r>
        <w:rPr>
          <w:rFonts w:ascii="Times New Roman" w:hAnsi="Times New Roman" w:cs="Times New Roman"/>
          <w:b/>
          <w:bCs/>
          <w:sz w:val="28"/>
          <w:szCs w:val="28"/>
        </w:rPr>
        <w:t xml:space="preserve">Q5 </w:t>
      </w:r>
      <w:r>
        <w:rPr>
          <w:rFonts w:ascii="Times New Roman" w:hAnsi="Times New Roman" w:cs="Times New Roman"/>
          <w:sz w:val="28"/>
          <w:szCs w:val="28"/>
        </w:rPr>
        <w:t>Please refer to Q4.</w:t>
      </w:r>
    </w:p>
    <w:p w14:paraId="605F6647" w14:textId="69276FDB" w:rsidR="0073511B" w:rsidRDefault="0073511B">
      <w:pPr>
        <w:rPr>
          <w:rFonts w:ascii="Times New Roman" w:hAnsi="Times New Roman" w:cs="Times New Roman"/>
          <w:sz w:val="28"/>
          <w:szCs w:val="28"/>
        </w:rPr>
      </w:pPr>
      <w:r>
        <w:rPr>
          <w:rFonts w:ascii="Times New Roman" w:hAnsi="Times New Roman" w:cs="Times New Roman"/>
          <w:b/>
          <w:bCs/>
          <w:sz w:val="28"/>
          <w:szCs w:val="28"/>
        </w:rPr>
        <w:t xml:space="preserve">Q6 </w:t>
      </w:r>
      <w:r>
        <w:rPr>
          <w:rFonts w:ascii="Times New Roman" w:hAnsi="Times New Roman" w:cs="Times New Roman"/>
          <w:sz w:val="28"/>
          <w:szCs w:val="28"/>
        </w:rPr>
        <w:t>Please refer to Q4</w:t>
      </w:r>
    </w:p>
    <w:p w14:paraId="28FB1314" w14:textId="6D715540" w:rsidR="0073511B" w:rsidRDefault="0073511B">
      <w:pPr>
        <w:rPr>
          <w:rFonts w:ascii="Times New Roman" w:hAnsi="Times New Roman" w:cs="Times New Roman"/>
          <w:sz w:val="28"/>
          <w:szCs w:val="28"/>
        </w:rPr>
      </w:pPr>
      <w:r>
        <w:rPr>
          <w:rFonts w:ascii="Times New Roman" w:hAnsi="Times New Roman" w:cs="Times New Roman"/>
          <w:b/>
          <w:bCs/>
          <w:sz w:val="28"/>
          <w:szCs w:val="28"/>
        </w:rPr>
        <w:t xml:space="preserve">Q7 </w:t>
      </w:r>
      <w:r>
        <w:rPr>
          <w:rFonts w:ascii="Times New Roman" w:hAnsi="Times New Roman" w:cs="Times New Roman"/>
          <w:sz w:val="28"/>
          <w:szCs w:val="28"/>
        </w:rPr>
        <w:t>Please refer to Q4 and Q6.</w:t>
      </w:r>
    </w:p>
    <w:p w14:paraId="2FE07203" w14:textId="4FFF50C5" w:rsidR="0073511B" w:rsidRDefault="0073511B">
      <w:pPr>
        <w:rPr>
          <w:rFonts w:ascii="Times New Roman" w:hAnsi="Times New Roman" w:cs="Times New Roman"/>
          <w:sz w:val="28"/>
          <w:szCs w:val="28"/>
        </w:rPr>
      </w:pPr>
      <w:r>
        <w:rPr>
          <w:rFonts w:ascii="Times New Roman" w:hAnsi="Times New Roman" w:cs="Times New Roman"/>
          <w:b/>
          <w:bCs/>
          <w:sz w:val="28"/>
          <w:szCs w:val="28"/>
        </w:rPr>
        <w:t xml:space="preserve">Q8 </w:t>
      </w:r>
      <w:r>
        <w:rPr>
          <w:rFonts w:ascii="Times New Roman" w:hAnsi="Times New Roman" w:cs="Times New Roman"/>
          <w:sz w:val="28"/>
          <w:szCs w:val="28"/>
        </w:rPr>
        <w:t>HRA cannot see why private developers would build affordable homes</w:t>
      </w:r>
      <w:r w:rsidR="00F214B7">
        <w:rPr>
          <w:rFonts w:ascii="Times New Roman" w:hAnsi="Times New Roman" w:cs="Times New Roman"/>
          <w:sz w:val="28"/>
          <w:szCs w:val="28"/>
        </w:rPr>
        <w:t xml:space="preserve"> absent</w:t>
      </w:r>
      <w:r>
        <w:rPr>
          <w:rFonts w:ascii="Times New Roman" w:hAnsi="Times New Roman" w:cs="Times New Roman"/>
          <w:sz w:val="28"/>
          <w:szCs w:val="28"/>
        </w:rPr>
        <w:t xml:space="preserve"> a subsidy from central government. The tenure of the 75% not designated as First Homes should be determined by agreement between the local authority and the developer in accordance with local planning policies.</w:t>
      </w:r>
    </w:p>
    <w:p w14:paraId="6ABB8979" w14:textId="72330229" w:rsidR="0073511B" w:rsidRDefault="0073511B">
      <w:pPr>
        <w:rPr>
          <w:rFonts w:ascii="Times New Roman" w:hAnsi="Times New Roman" w:cs="Times New Roman"/>
          <w:sz w:val="28"/>
          <w:szCs w:val="28"/>
        </w:rPr>
      </w:pPr>
      <w:r>
        <w:rPr>
          <w:rFonts w:ascii="Times New Roman" w:hAnsi="Times New Roman" w:cs="Times New Roman"/>
          <w:b/>
          <w:bCs/>
          <w:sz w:val="28"/>
          <w:szCs w:val="28"/>
        </w:rPr>
        <w:t xml:space="preserve">Q9 </w:t>
      </w:r>
      <w:r>
        <w:rPr>
          <w:rFonts w:ascii="Times New Roman" w:hAnsi="Times New Roman" w:cs="Times New Roman"/>
          <w:sz w:val="28"/>
          <w:szCs w:val="28"/>
        </w:rPr>
        <w:t>Surely, affordable home ownership is not ‘for build to rent’? Exemptions do not make sense here.</w:t>
      </w:r>
    </w:p>
    <w:p w14:paraId="29E6DF06" w14:textId="0905291C" w:rsidR="0073511B" w:rsidRDefault="0073511B">
      <w:pPr>
        <w:rPr>
          <w:rFonts w:ascii="Times New Roman" w:hAnsi="Times New Roman" w:cs="Times New Roman"/>
          <w:sz w:val="28"/>
          <w:szCs w:val="28"/>
        </w:rPr>
      </w:pPr>
      <w:r>
        <w:rPr>
          <w:rFonts w:ascii="Times New Roman" w:hAnsi="Times New Roman" w:cs="Times New Roman"/>
          <w:b/>
          <w:bCs/>
          <w:sz w:val="28"/>
          <w:szCs w:val="28"/>
        </w:rPr>
        <w:t xml:space="preserve">Q10 </w:t>
      </w:r>
      <w:r>
        <w:rPr>
          <w:rFonts w:ascii="Times New Roman" w:hAnsi="Times New Roman" w:cs="Times New Roman"/>
          <w:sz w:val="28"/>
          <w:szCs w:val="28"/>
        </w:rPr>
        <w:t>The only reasonable exemption would be for small estates of up to 10 dwellings, and even here developers may try to split larger dev</w:t>
      </w:r>
      <w:r w:rsidR="00E7051D">
        <w:rPr>
          <w:rFonts w:ascii="Times New Roman" w:hAnsi="Times New Roman" w:cs="Times New Roman"/>
          <w:sz w:val="28"/>
          <w:szCs w:val="28"/>
        </w:rPr>
        <w:t>e</w:t>
      </w:r>
      <w:r>
        <w:rPr>
          <w:rFonts w:ascii="Times New Roman" w:hAnsi="Times New Roman" w:cs="Times New Roman"/>
          <w:sz w:val="28"/>
          <w:szCs w:val="28"/>
        </w:rPr>
        <w:t xml:space="preserve">lopments into </w:t>
      </w:r>
      <w:r w:rsidR="00E7051D">
        <w:rPr>
          <w:rFonts w:ascii="Times New Roman" w:hAnsi="Times New Roman" w:cs="Times New Roman"/>
          <w:sz w:val="28"/>
          <w:szCs w:val="28"/>
        </w:rPr>
        <w:t>smaller ones.</w:t>
      </w:r>
    </w:p>
    <w:p w14:paraId="2606C747" w14:textId="7C43225A" w:rsidR="00E7051D" w:rsidRDefault="00E7051D">
      <w:pPr>
        <w:rPr>
          <w:rFonts w:ascii="Times New Roman" w:hAnsi="Times New Roman" w:cs="Times New Roman"/>
          <w:sz w:val="28"/>
          <w:szCs w:val="28"/>
        </w:rPr>
      </w:pPr>
      <w:r>
        <w:rPr>
          <w:rFonts w:ascii="Times New Roman" w:hAnsi="Times New Roman" w:cs="Times New Roman"/>
          <w:b/>
          <w:bCs/>
          <w:sz w:val="28"/>
          <w:szCs w:val="28"/>
        </w:rPr>
        <w:lastRenderedPageBreak/>
        <w:t xml:space="preserve">Q11 </w:t>
      </w:r>
      <w:r>
        <w:rPr>
          <w:rFonts w:ascii="Times New Roman" w:hAnsi="Times New Roman" w:cs="Times New Roman"/>
          <w:sz w:val="28"/>
          <w:szCs w:val="28"/>
        </w:rPr>
        <w:t>We do not see a need for any other exemptions.</w:t>
      </w:r>
    </w:p>
    <w:p w14:paraId="3689DACB" w14:textId="759A22C8" w:rsidR="00E7051D" w:rsidRDefault="00E7051D">
      <w:pPr>
        <w:rPr>
          <w:rFonts w:ascii="Times New Roman" w:hAnsi="Times New Roman" w:cs="Times New Roman"/>
          <w:sz w:val="28"/>
          <w:szCs w:val="28"/>
        </w:rPr>
      </w:pPr>
      <w:r>
        <w:rPr>
          <w:rFonts w:ascii="Times New Roman" w:hAnsi="Times New Roman" w:cs="Times New Roman"/>
          <w:b/>
          <w:bCs/>
          <w:sz w:val="28"/>
          <w:szCs w:val="28"/>
        </w:rPr>
        <w:t xml:space="preserve">Q12 </w:t>
      </w:r>
      <w:r>
        <w:rPr>
          <w:rFonts w:ascii="Times New Roman" w:hAnsi="Times New Roman" w:cs="Times New Roman"/>
          <w:sz w:val="28"/>
          <w:szCs w:val="28"/>
        </w:rPr>
        <w:t>We have no comment.</w:t>
      </w:r>
    </w:p>
    <w:p w14:paraId="35354081" w14:textId="4B8194EC" w:rsidR="00E7051D" w:rsidRDefault="00E7051D">
      <w:pPr>
        <w:rPr>
          <w:rFonts w:ascii="Times New Roman" w:hAnsi="Times New Roman" w:cs="Times New Roman"/>
          <w:sz w:val="28"/>
          <w:szCs w:val="28"/>
        </w:rPr>
      </w:pPr>
      <w:r>
        <w:rPr>
          <w:rFonts w:ascii="Times New Roman" w:hAnsi="Times New Roman" w:cs="Times New Roman"/>
          <w:b/>
          <w:bCs/>
          <w:sz w:val="28"/>
          <w:szCs w:val="28"/>
        </w:rPr>
        <w:t xml:space="preserve">Q13 </w:t>
      </w:r>
      <w:r>
        <w:rPr>
          <w:rFonts w:ascii="Times New Roman" w:hAnsi="Times New Roman" w:cs="Times New Roman"/>
          <w:sz w:val="28"/>
          <w:szCs w:val="28"/>
        </w:rPr>
        <w:t>In our view, discounted dwellings should remain as discounted dwellings.</w:t>
      </w:r>
    </w:p>
    <w:p w14:paraId="453B0A42" w14:textId="5ACF829C" w:rsidR="00E7051D" w:rsidRDefault="00E7051D">
      <w:pPr>
        <w:rPr>
          <w:rFonts w:ascii="Times New Roman" w:hAnsi="Times New Roman" w:cs="Times New Roman"/>
          <w:sz w:val="28"/>
          <w:szCs w:val="28"/>
        </w:rPr>
      </w:pPr>
      <w:r>
        <w:rPr>
          <w:rFonts w:ascii="Times New Roman" w:hAnsi="Times New Roman" w:cs="Times New Roman"/>
          <w:b/>
          <w:bCs/>
          <w:sz w:val="28"/>
          <w:szCs w:val="28"/>
        </w:rPr>
        <w:t xml:space="preserve">Q14 </w:t>
      </w:r>
      <w:r>
        <w:rPr>
          <w:rFonts w:ascii="Times New Roman" w:hAnsi="Times New Roman" w:cs="Times New Roman"/>
          <w:sz w:val="28"/>
          <w:szCs w:val="28"/>
        </w:rPr>
        <w:t xml:space="preserve">As indicated above, we view the use of Exceptions sites as a clear breach of the principles of the Localism Act. The huge effort </w:t>
      </w:r>
      <w:r w:rsidR="00F214B7">
        <w:rPr>
          <w:rFonts w:ascii="Times New Roman" w:hAnsi="Times New Roman" w:cs="Times New Roman"/>
          <w:sz w:val="28"/>
          <w:szCs w:val="28"/>
        </w:rPr>
        <w:t>put into Local and Neighbourhood Plans</w:t>
      </w:r>
      <w:r>
        <w:rPr>
          <w:rFonts w:ascii="Times New Roman" w:hAnsi="Times New Roman" w:cs="Times New Roman"/>
          <w:sz w:val="28"/>
          <w:szCs w:val="28"/>
        </w:rPr>
        <w:t xml:space="preserve"> by HRA and many other local community groups should not be put at nought by the principle of </w:t>
      </w:r>
      <w:r w:rsidR="00D1403A">
        <w:rPr>
          <w:rFonts w:ascii="Times New Roman" w:hAnsi="Times New Roman" w:cs="Times New Roman"/>
          <w:sz w:val="28"/>
          <w:szCs w:val="28"/>
        </w:rPr>
        <w:t>‘Exception Sites’.</w:t>
      </w:r>
    </w:p>
    <w:p w14:paraId="6BE0B931" w14:textId="037581EE" w:rsidR="00D1403A" w:rsidRDefault="00D1403A">
      <w:pPr>
        <w:rPr>
          <w:rFonts w:ascii="Times New Roman" w:hAnsi="Times New Roman" w:cs="Times New Roman"/>
          <w:sz w:val="28"/>
          <w:szCs w:val="28"/>
        </w:rPr>
      </w:pPr>
      <w:r>
        <w:rPr>
          <w:rFonts w:ascii="Times New Roman" w:hAnsi="Times New Roman" w:cs="Times New Roman"/>
          <w:b/>
          <w:bCs/>
          <w:sz w:val="28"/>
          <w:szCs w:val="28"/>
        </w:rPr>
        <w:t xml:space="preserve">Q15 </w:t>
      </w:r>
      <w:r>
        <w:rPr>
          <w:rFonts w:ascii="Times New Roman" w:hAnsi="Times New Roman" w:cs="Times New Roman"/>
          <w:sz w:val="28"/>
          <w:szCs w:val="28"/>
        </w:rPr>
        <w:t>No.</w:t>
      </w:r>
    </w:p>
    <w:p w14:paraId="4E0634F1" w14:textId="579B577D" w:rsidR="00D1403A" w:rsidRDefault="00D1403A">
      <w:pPr>
        <w:rPr>
          <w:rFonts w:ascii="Times New Roman" w:hAnsi="Times New Roman" w:cs="Times New Roman"/>
          <w:sz w:val="28"/>
          <w:szCs w:val="28"/>
        </w:rPr>
      </w:pPr>
      <w:r>
        <w:rPr>
          <w:rFonts w:ascii="Times New Roman" w:hAnsi="Times New Roman" w:cs="Times New Roman"/>
          <w:b/>
          <w:bCs/>
          <w:sz w:val="28"/>
          <w:szCs w:val="28"/>
        </w:rPr>
        <w:t xml:space="preserve">Q16 </w:t>
      </w:r>
      <w:r>
        <w:rPr>
          <w:rFonts w:ascii="Times New Roman" w:hAnsi="Times New Roman" w:cs="Times New Roman"/>
          <w:sz w:val="28"/>
          <w:szCs w:val="28"/>
        </w:rPr>
        <w:t>Yes.</w:t>
      </w:r>
    </w:p>
    <w:p w14:paraId="7D7846CD" w14:textId="080D46AA" w:rsidR="00D1403A" w:rsidRDefault="00D1403A">
      <w:pPr>
        <w:rPr>
          <w:rFonts w:ascii="Times New Roman" w:hAnsi="Times New Roman" w:cs="Times New Roman"/>
          <w:sz w:val="28"/>
          <w:szCs w:val="28"/>
        </w:rPr>
      </w:pPr>
      <w:r>
        <w:rPr>
          <w:rFonts w:ascii="Times New Roman" w:hAnsi="Times New Roman" w:cs="Times New Roman"/>
          <w:b/>
          <w:bCs/>
          <w:sz w:val="28"/>
          <w:szCs w:val="28"/>
        </w:rPr>
        <w:t xml:space="preserve">Q17 </w:t>
      </w:r>
      <w:r>
        <w:rPr>
          <w:rFonts w:ascii="Times New Roman" w:hAnsi="Times New Roman" w:cs="Times New Roman"/>
          <w:sz w:val="28"/>
          <w:szCs w:val="28"/>
        </w:rPr>
        <w:t xml:space="preserve">No. </w:t>
      </w:r>
    </w:p>
    <w:p w14:paraId="005C9757" w14:textId="5C9E855F" w:rsidR="00D1403A" w:rsidRDefault="00D1403A">
      <w:pPr>
        <w:rPr>
          <w:rFonts w:ascii="Times New Roman" w:hAnsi="Times New Roman" w:cs="Times New Roman"/>
          <w:sz w:val="28"/>
          <w:szCs w:val="28"/>
        </w:rPr>
      </w:pPr>
      <w:r>
        <w:rPr>
          <w:rFonts w:ascii="Times New Roman" w:hAnsi="Times New Roman" w:cs="Times New Roman"/>
          <w:b/>
          <w:bCs/>
          <w:sz w:val="28"/>
          <w:szCs w:val="28"/>
        </w:rPr>
        <w:t xml:space="preserve">Q18 </w:t>
      </w:r>
      <w:r>
        <w:rPr>
          <w:rFonts w:ascii="Times New Roman" w:hAnsi="Times New Roman" w:cs="Times New Roman"/>
          <w:sz w:val="28"/>
          <w:szCs w:val="28"/>
        </w:rPr>
        <w:t xml:space="preserve">10 would be an appropriate level for the small </w:t>
      </w:r>
      <w:proofErr w:type="gramStart"/>
      <w:r>
        <w:rPr>
          <w:rFonts w:ascii="Times New Roman" w:hAnsi="Times New Roman" w:cs="Times New Roman"/>
          <w:sz w:val="28"/>
          <w:szCs w:val="28"/>
        </w:rPr>
        <w:t>sites</w:t>
      </w:r>
      <w:proofErr w:type="gramEnd"/>
      <w:r>
        <w:rPr>
          <w:rFonts w:ascii="Times New Roman" w:hAnsi="Times New Roman" w:cs="Times New Roman"/>
          <w:sz w:val="28"/>
          <w:szCs w:val="28"/>
        </w:rPr>
        <w:t xml:space="preserve"> threshold.</w:t>
      </w:r>
    </w:p>
    <w:p w14:paraId="486F6494" w14:textId="74483A00" w:rsidR="00D1403A" w:rsidRDefault="00D1403A">
      <w:pPr>
        <w:rPr>
          <w:rFonts w:ascii="Times New Roman" w:hAnsi="Times New Roman" w:cs="Times New Roman"/>
          <w:sz w:val="28"/>
          <w:szCs w:val="28"/>
        </w:rPr>
      </w:pPr>
      <w:r>
        <w:rPr>
          <w:rFonts w:ascii="Times New Roman" w:hAnsi="Times New Roman" w:cs="Times New Roman"/>
          <w:b/>
          <w:bCs/>
          <w:sz w:val="28"/>
          <w:szCs w:val="28"/>
        </w:rPr>
        <w:t xml:space="preserve">Q19 </w:t>
      </w:r>
      <w:r>
        <w:rPr>
          <w:rFonts w:ascii="Times New Roman" w:hAnsi="Times New Roman" w:cs="Times New Roman"/>
          <w:sz w:val="28"/>
          <w:szCs w:val="28"/>
        </w:rPr>
        <w:t>No.</w:t>
      </w:r>
    </w:p>
    <w:p w14:paraId="11E614D4" w14:textId="344BB26E" w:rsidR="00D1403A" w:rsidRDefault="00D1403A">
      <w:pPr>
        <w:rPr>
          <w:rFonts w:ascii="Times New Roman" w:hAnsi="Times New Roman" w:cs="Times New Roman"/>
          <w:sz w:val="28"/>
          <w:szCs w:val="28"/>
        </w:rPr>
      </w:pPr>
      <w:r>
        <w:rPr>
          <w:rFonts w:ascii="Times New Roman" w:hAnsi="Times New Roman" w:cs="Times New Roman"/>
          <w:b/>
          <w:bCs/>
          <w:sz w:val="28"/>
          <w:szCs w:val="28"/>
        </w:rPr>
        <w:t xml:space="preserve">Q20 </w:t>
      </w:r>
      <w:r>
        <w:rPr>
          <w:rFonts w:ascii="Times New Roman" w:hAnsi="Times New Roman" w:cs="Times New Roman"/>
          <w:sz w:val="28"/>
          <w:szCs w:val="28"/>
        </w:rPr>
        <w:t>No.</w:t>
      </w:r>
    </w:p>
    <w:p w14:paraId="5708F90E" w14:textId="4C2E0432" w:rsidR="00D1403A" w:rsidRDefault="00ED77BF">
      <w:pPr>
        <w:rPr>
          <w:rFonts w:ascii="Times New Roman" w:hAnsi="Times New Roman" w:cs="Times New Roman"/>
          <w:sz w:val="28"/>
          <w:szCs w:val="28"/>
        </w:rPr>
      </w:pPr>
      <w:r>
        <w:rPr>
          <w:rFonts w:ascii="Times New Roman" w:hAnsi="Times New Roman" w:cs="Times New Roman"/>
          <w:b/>
          <w:bCs/>
          <w:sz w:val="28"/>
          <w:szCs w:val="28"/>
        </w:rPr>
        <w:t xml:space="preserve">Q21 </w:t>
      </w:r>
      <w:r>
        <w:rPr>
          <w:rFonts w:ascii="Times New Roman" w:hAnsi="Times New Roman" w:cs="Times New Roman"/>
          <w:sz w:val="28"/>
          <w:szCs w:val="28"/>
        </w:rPr>
        <w:t>No.</w:t>
      </w:r>
    </w:p>
    <w:p w14:paraId="1C63C82F" w14:textId="7FA2CED6" w:rsidR="00ED77BF" w:rsidRDefault="00ED77BF">
      <w:pPr>
        <w:rPr>
          <w:rFonts w:ascii="Times New Roman" w:hAnsi="Times New Roman" w:cs="Times New Roman"/>
          <w:sz w:val="28"/>
          <w:szCs w:val="28"/>
        </w:rPr>
      </w:pPr>
      <w:r>
        <w:rPr>
          <w:rFonts w:ascii="Times New Roman" w:hAnsi="Times New Roman" w:cs="Times New Roman"/>
          <w:b/>
          <w:bCs/>
          <w:sz w:val="28"/>
          <w:szCs w:val="28"/>
        </w:rPr>
        <w:t xml:space="preserve">Q22 </w:t>
      </w:r>
      <w:r>
        <w:rPr>
          <w:rFonts w:ascii="Times New Roman" w:hAnsi="Times New Roman" w:cs="Times New Roman"/>
          <w:sz w:val="28"/>
          <w:szCs w:val="28"/>
        </w:rPr>
        <w:t>Yes.</w:t>
      </w:r>
    </w:p>
    <w:p w14:paraId="23E5EE64" w14:textId="58B235E5" w:rsidR="00ED77BF" w:rsidRDefault="00ED77BF">
      <w:pPr>
        <w:rPr>
          <w:rFonts w:ascii="Times New Roman" w:hAnsi="Times New Roman" w:cs="Times New Roman"/>
          <w:sz w:val="28"/>
          <w:szCs w:val="28"/>
        </w:rPr>
      </w:pPr>
      <w:r>
        <w:rPr>
          <w:rFonts w:ascii="Times New Roman" w:hAnsi="Times New Roman" w:cs="Times New Roman"/>
          <w:b/>
          <w:bCs/>
          <w:sz w:val="28"/>
          <w:szCs w:val="28"/>
        </w:rPr>
        <w:t xml:space="preserve">Q23 </w:t>
      </w:r>
      <w:r>
        <w:rPr>
          <w:rFonts w:ascii="Times New Roman" w:hAnsi="Times New Roman" w:cs="Times New Roman"/>
          <w:sz w:val="28"/>
          <w:szCs w:val="28"/>
        </w:rPr>
        <w:t>No. If the Government was serious about enabling SME builders to build more affordable homes it would take such provision out of the conventional housing market and free</w:t>
      </w:r>
      <w:r w:rsidR="00F214B7">
        <w:rPr>
          <w:rFonts w:ascii="Times New Roman" w:hAnsi="Times New Roman" w:cs="Times New Roman"/>
          <w:sz w:val="28"/>
          <w:szCs w:val="28"/>
        </w:rPr>
        <w:t xml:space="preserve"> </w:t>
      </w:r>
      <w:r>
        <w:rPr>
          <w:rFonts w:ascii="Times New Roman" w:hAnsi="Times New Roman" w:cs="Times New Roman"/>
          <w:sz w:val="28"/>
          <w:szCs w:val="28"/>
        </w:rPr>
        <w:t>up some of its own land for new homes for rent.</w:t>
      </w:r>
    </w:p>
    <w:p w14:paraId="6EFA2FEA" w14:textId="5B8DE4ED" w:rsidR="00ED77BF" w:rsidRDefault="00ED77BF">
      <w:pPr>
        <w:rPr>
          <w:rFonts w:ascii="Times New Roman" w:hAnsi="Times New Roman" w:cs="Times New Roman"/>
          <w:sz w:val="28"/>
          <w:szCs w:val="28"/>
        </w:rPr>
      </w:pPr>
      <w:r>
        <w:rPr>
          <w:rFonts w:ascii="Times New Roman" w:hAnsi="Times New Roman" w:cs="Times New Roman"/>
          <w:b/>
          <w:bCs/>
          <w:sz w:val="28"/>
          <w:szCs w:val="28"/>
        </w:rPr>
        <w:t xml:space="preserve">Q24 </w:t>
      </w:r>
      <w:r>
        <w:rPr>
          <w:rFonts w:ascii="Times New Roman" w:hAnsi="Times New Roman" w:cs="Times New Roman"/>
          <w:sz w:val="28"/>
          <w:szCs w:val="28"/>
        </w:rPr>
        <w:t xml:space="preserve">Yes. A Permission in Principle application should be allowed for a wider range of sites thus increasing the velocity of housing development. </w:t>
      </w:r>
      <w:proofErr w:type="gramStart"/>
      <w:r>
        <w:rPr>
          <w:rFonts w:ascii="Times New Roman" w:hAnsi="Times New Roman" w:cs="Times New Roman"/>
          <w:sz w:val="28"/>
          <w:szCs w:val="28"/>
        </w:rPr>
        <w:t>However</w:t>
      </w:r>
      <w:proofErr w:type="gramEnd"/>
      <w:r>
        <w:rPr>
          <w:rFonts w:ascii="Times New Roman" w:hAnsi="Times New Roman" w:cs="Times New Roman"/>
          <w:sz w:val="28"/>
          <w:szCs w:val="28"/>
        </w:rPr>
        <w:t xml:space="preserve"> HRA is concerned that the Government may be considering reducing still further the information and publicity requirements for planning applications. This would be a retrograde step that would weaken both local democracy and the efficacy of the planning process itself.</w:t>
      </w:r>
    </w:p>
    <w:p w14:paraId="6D9451A1" w14:textId="45F1156B" w:rsidR="00ED77BF" w:rsidRDefault="00ED77BF">
      <w:pPr>
        <w:rPr>
          <w:rFonts w:ascii="Times New Roman" w:hAnsi="Times New Roman" w:cs="Times New Roman"/>
          <w:sz w:val="28"/>
          <w:szCs w:val="28"/>
        </w:rPr>
      </w:pPr>
      <w:r>
        <w:rPr>
          <w:rFonts w:ascii="Times New Roman" w:hAnsi="Times New Roman" w:cs="Times New Roman"/>
          <w:b/>
          <w:bCs/>
          <w:sz w:val="28"/>
          <w:szCs w:val="28"/>
        </w:rPr>
        <w:t xml:space="preserve">Q25 </w:t>
      </w:r>
      <w:r>
        <w:rPr>
          <w:rFonts w:ascii="Times New Roman" w:hAnsi="Times New Roman" w:cs="Times New Roman"/>
          <w:sz w:val="28"/>
          <w:szCs w:val="28"/>
        </w:rPr>
        <w:t>HRA has no comment.</w:t>
      </w:r>
    </w:p>
    <w:p w14:paraId="4CCF91CC" w14:textId="4E5B7675" w:rsidR="00ED77BF" w:rsidRDefault="00ED77BF">
      <w:pPr>
        <w:rPr>
          <w:rFonts w:ascii="Times New Roman" w:hAnsi="Times New Roman" w:cs="Times New Roman"/>
          <w:sz w:val="28"/>
          <w:szCs w:val="28"/>
        </w:rPr>
      </w:pPr>
      <w:r>
        <w:rPr>
          <w:rFonts w:ascii="Times New Roman" w:hAnsi="Times New Roman" w:cs="Times New Roman"/>
          <w:b/>
          <w:bCs/>
          <w:sz w:val="28"/>
          <w:szCs w:val="28"/>
        </w:rPr>
        <w:t xml:space="preserve">Q26 </w:t>
      </w:r>
      <w:r>
        <w:rPr>
          <w:rFonts w:ascii="Times New Roman" w:hAnsi="Times New Roman" w:cs="Times New Roman"/>
          <w:sz w:val="28"/>
          <w:szCs w:val="28"/>
        </w:rPr>
        <w:t>Yes.</w:t>
      </w:r>
    </w:p>
    <w:p w14:paraId="25DC38ED" w14:textId="4721E278" w:rsidR="00ED77BF" w:rsidRDefault="00ED77BF">
      <w:pPr>
        <w:rPr>
          <w:rFonts w:ascii="Times New Roman" w:hAnsi="Times New Roman" w:cs="Times New Roman"/>
          <w:sz w:val="28"/>
          <w:szCs w:val="28"/>
        </w:rPr>
      </w:pPr>
      <w:r>
        <w:rPr>
          <w:rFonts w:ascii="Times New Roman" w:hAnsi="Times New Roman" w:cs="Times New Roman"/>
          <w:b/>
          <w:bCs/>
          <w:sz w:val="28"/>
          <w:szCs w:val="28"/>
        </w:rPr>
        <w:t xml:space="preserve">Q27 </w:t>
      </w:r>
      <w:r>
        <w:rPr>
          <w:rFonts w:ascii="Times New Roman" w:hAnsi="Times New Roman" w:cs="Times New Roman"/>
          <w:sz w:val="28"/>
          <w:szCs w:val="28"/>
        </w:rPr>
        <w:t>Yes: the height of any building over three storeys should be listed.</w:t>
      </w:r>
    </w:p>
    <w:p w14:paraId="79F9E324" w14:textId="12E98420" w:rsidR="00ED77BF" w:rsidRDefault="00ED77BF">
      <w:pPr>
        <w:rPr>
          <w:rFonts w:ascii="Times New Roman" w:hAnsi="Times New Roman" w:cs="Times New Roman"/>
          <w:sz w:val="28"/>
          <w:szCs w:val="28"/>
        </w:rPr>
      </w:pPr>
      <w:r>
        <w:rPr>
          <w:rFonts w:ascii="Times New Roman" w:hAnsi="Times New Roman" w:cs="Times New Roman"/>
          <w:b/>
          <w:bCs/>
          <w:sz w:val="28"/>
          <w:szCs w:val="28"/>
        </w:rPr>
        <w:t xml:space="preserve">Q28 </w:t>
      </w:r>
      <w:r>
        <w:rPr>
          <w:rFonts w:ascii="Times New Roman" w:hAnsi="Times New Roman" w:cs="Times New Roman"/>
          <w:sz w:val="28"/>
          <w:szCs w:val="28"/>
        </w:rPr>
        <w:t>HRA would favour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and (ii).</w:t>
      </w:r>
    </w:p>
    <w:p w14:paraId="237E720E" w14:textId="6B6D7CA8" w:rsidR="00ED77BF" w:rsidRDefault="00ED77BF">
      <w:pPr>
        <w:rPr>
          <w:rFonts w:ascii="Times New Roman" w:hAnsi="Times New Roman" w:cs="Times New Roman"/>
          <w:sz w:val="28"/>
          <w:szCs w:val="28"/>
        </w:rPr>
      </w:pPr>
      <w:r>
        <w:rPr>
          <w:rFonts w:ascii="Times New Roman" w:hAnsi="Times New Roman" w:cs="Times New Roman"/>
          <w:b/>
          <w:bCs/>
          <w:sz w:val="28"/>
          <w:szCs w:val="28"/>
        </w:rPr>
        <w:t xml:space="preserve">Q29 </w:t>
      </w:r>
      <w:r w:rsidR="00B024AE">
        <w:rPr>
          <w:rFonts w:ascii="Times New Roman" w:hAnsi="Times New Roman" w:cs="Times New Roman"/>
          <w:sz w:val="28"/>
          <w:szCs w:val="28"/>
        </w:rPr>
        <w:t>HRA has no comment.</w:t>
      </w:r>
    </w:p>
    <w:p w14:paraId="6254266D" w14:textId="596E05F5" w:rsidR="00B024AE" w:rsidRDefault="00B024AE">
      <w:pPr>
        <w:rPr>
          <w:rFonts w:ascii="Times New Roman" w:hAnsi="Times New Roman" w:cs="Times New Roman"/>
          <w:sz w:val="28"/>
          <w:szCs w:val="28"/>
        </w:rPr>
      </w:pPr>
      <w:r>
        <w:rPr>
          <w:rFonts w:ascii="Times New Roman" w:hAnsi="Times New Roman" w:cs="Times New Roman"/>
          <w:b/>
          <w:bCs/>
          <w:sz w:val="28"/>
          <w:szCs w:val="28"/>
        </w:rPr>
        <w:t xml:space="preserve">Q30 </w:t>
      </w:r>
      <w:r>
        <w:rPr>
          <w:rFonts w:ascii="Times New Roman" w:hAnsi="Times New Roman" w:cs="Times New Roman"/>
          <w:sz w:val="28"/>
          <w:szCs w:val="28"/>
        </w:rPr>
        <w:t>HRA has no comment.</w:t>
      </w:r>
    </w:p>
    <w:p w14:paraId="6CE7637D" w14:textId="005CED9C" w:rsidR="00B024AE" w:rsidRDefault="00B024AE">
      <w:pPr>
        <w:rPr>
          <w:rFonts w:ascii="Times New Roman" w:hAnsi="Times New Roman" w:cs="Times New Roman"/>
          <w:sz w:val="28"/>
          <w:szCs w:val="28"/>
        </w:rPr>
      </w:pPr>
      <w:r>
        <w:rPr>
          <w:rFonts w:ascii="Times New Roman" w:hAnsi="Times New Roman" w:cs="Times New Roman"/>
          <w:b/>
          <w:bCs/>
          <w:sz w:val="28"/>
          <w:szCs w:val="28"/>
        </w:rPr>
        <w:t xml:space="preserve">Q31 </w:t>
      </w:r>
      <w:r>
        <w:rPr>
          <w:rFonts w:ascii="Times New Roman" w:hAnsi="Times New Roman" w:cs="Times New Roman"/>
          <w:sz w:val="28"/>
          <w:szCs w:val="28"/>
        </w:rPr>
        <w:t>Yes.</w:t>
      </w:r>
    </w:p>
    <w:p w14:paraId="08141A92" w14:textId="66D51539" w:rsidR="00B024AE" w:rsidRDefault="00B024AE">
      <w:pPr>
        <w:rPr>
          <w:rFonts w:ascii="Times New Roman" w:hAnsi="Times New Roman" w:cs="Times New Roman"/>
          <w:sz w:val="28"/>
          <w:szCs w:val="28"/>
        </w:rPr>
      </w:pPr>
      <w:r>
        <w:rPr>
          <w:rFonts w:ascii="Times New Roman" w:hAnsi="Times New Roman" w:cs="Times New Roman"/>
          <w:b/>
          <w:bCs/>
          <w:sz w:val="28"/>
          <w:szCs w:val="28"/>
        </w:rPr>
        <w:lastRenderedPageBreak/>
        <w:t xml:space="preserve">Q32 </w:t>
      </w:r>
      <w:r>
        <w:rPr>
          <w:rFonts w:ascii="Times New Roman" w:hAnsi="Times New Roman" w:cs="Times New Roman"/>
          <w:sz w:val="28"/>
          <w:szCs w:val="28"/>
        </w:rPr>
        <w:t>HRA considers that the existing Guidance is adequate.</w:t>
      </w:r>
    </w:p>
    <w:p w14:paraId="179C13EF" w14:textId="1E5F6538" w:rsidR="00B024AE" w:rsidRDefault="00B024AE">
      <w:pPr>
        <w:rPr>
          <w:rFonts w:ascii="Times New Roman" w:hAnsi="Times New Roman" w:cs="Times New Roman"/>
          <w:sz w:val="28"/>
          <w:szCs w:val="28"/>
        </w:rPr>
      </w:pPr>
      <w:r>
        <w:rPr>
          <w:rFonts w:ascii="Times New Roman" w:hAnsi="Times New Roman" w:cs="Times New Roman"/>
          <w:b/>
          <w:bCs/>
          <w:sz w:val="28"/>
          <w:szCs w:val="28"/>
        </w:rPr>
        <w:t xml:space="preserve">Q33 </w:t>
      </w:r>
      <w:r>
        <w:rPr>
          <w:rFonts w:ascii="Times New Roman" w:hAnsi="Times New Roman" w:cs="Times New Roman"/>
          <w:sz w:val="28"/>
          <w:szCs w:val="28"/>
        </w:rPr>
        <w:t>Please refer to Q32.</w:t>
      </w:r>
    </w:p>
    <w:p w14:paraId="4CBADA94" w14:textId="34CD18EF" w:rsidR="00B024AE" w:rsidRDefault="00B024AE">
      <w:pPr>
        <w:rPr>
          <w:rFonts w:ascii="Times New Roman" w:hAnsi="Times New Roman" w:cs="Times New Roman"/>
          <w:sz w:val="28"/>
          <w:szCs w:val="28"/>
        </w:rPr>
      </w:pPr>
      <w:r>
        <w:rPr>
          <w:rFonts w:ascii="Times New Roman" w:hAnsi="Times New Roman" w:cs="Times New Roman"/>
          <w:b/>
          <w:bCs/>
          <w:sz w:val="28"/>
          <w:szCs w:val="28"/>
        </w:rPr>
        <w:t xml:space="preserve">Q34 </w:t>
      </w:r>
      <w:r>
        <w:rPr>
          <w:rFonts w:ascii="Times New Roman" w:hAnsi="Times New Roman" w:cs="Times New Roman"/>
          <w:sz w:val="28"/>
          <w:szCs w:val="28"/>
        </w:rPr>
        <w:t>Please refer to Q32.</w:t>
      </w:r>
    </w:p>
    <w:p w14:paraId="3B42642A" w14:textId="47CA7685" w:rsidR="00B024AE" w:rsidRDefault="00B024AE">
      <w:pPr>
        <w:rPr>
          <w:rFonts w:ascii="Times New Roman" w:hAnsi="Times New Roman" w:cs="Times New Roman"/>
          <w:sz w:val="28"/>
          <w:szCs w:val="28"/>
        </w:rPr>
      </w:pPr>
      <w:r>
        <w:rPr>
          <w:rFonts w:ascii="Times New Roman" w:hAnsi="Times New Roman" w:cs="Times New Roman"/>
          <w:b/>
          <w:bCs/>
          <w:sz w:val="28"/>
          <w:szCs w:val="28"/>
        </w:rPr>
        <w:t xml:space="preserve">Q35 </w:t>
      </w:r>
      <w:r>
        <w:rPr>
          <w:rFonts w:ascii="Times New Roman" w:hAnsi="Times New Roman" w:cs="Times New Roman"/>
          <w:sz w:val="28"/>
          <w:szCs w:val="28"/>
        </w:rPr>
        <w:t>HRA is content with the continuance of the Public Sector Equality Duty as it is.</w:t>
      </w:r>
    </w:p>
    <w:p w14:paraId="3D31AE79" w14:textId="089C329C" w:rsidR="00F214B7" w:rsidRPr="00B024AE" w:rsidRDefault="00F214B7">
      <w:pPr>
        <w:rPr>
          <w:rFonts w:ascii="Times New Roman" w:hAnsi="Times New Roman" w:cs="Times New Roman"/>
          <w:sz w:val="28"/>
          <w:szCs w:val="28"/>
        </w:rPr>
      </w:pPr>
      <w:r>
        <w:rPr>
          <w:rFonts w:ascii="Times New Roman" w:hAnsi="Times New Roman" w:cs="Times New Roman"/>
          <w:sz w:val="28"/>
          <w:szCs w:val="28"/>
        </w:rPr>
        <w:t>HRA 28</w:t>
      </w:r>
      <w:r w:rsidRPr="00F214B7">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2020</w:t>
      </w:r>
    </w:p>
    <w:p w14:paraId="23B0AECE" w14:textId="77777777" w:rsidR="00B024AE" w:rsidRPr="00B024AE" w:rsidRDefault="00B024AE">
      <w:pPr>
        <w:rPr>
          <w:rFonts w:ascii="Times New Roman" w:hAnsi="Times New Roman" w:cs="Times New Roman"/>
          <w:sz w:val="28"/>
          <w:szCs w:val="28"/>
        </w:rPr>
      </w:pPr>
    </w:p>
    <w:p w14:paraId="27801838" w14:textId="77777777" w:rsidR="00ED77BF" w:rsidRPr="00ED77BF" w:rsidRDefault="00ED77BF">
      <w:pPr>
        <w:rPr>
          <w:rFonts w:ascii="Times New Roman" w:hAnsi="Times New Roman" w:cs="Times New Roman"/>
          <w:sz w:val="28"/>
          <w:szCs w:val="28"/>
        </w:rPr>
      </w:pPr>
    </w:p>
    <w:p w14:paraId="66F183AB" w14:textId="77777777" w:rsidR="00D1403A" w:rsidRPr="00D1403A" w:rsidRDefault="00D1403A">
      <w:pPr>
        <w:rPr>
          <w:rFonts w:ascii="Times New Roman" w:hAnsi="Times New Roman" w:cs="Times New Roman"/>
          <w:sz w:val="28"/>
          <w:szCs w:val="28"/>
        </w:rPr>
      </w:pPr>
    </w:p>
    <w:p w14:paraId="3135825B" w14:textId="77777777" w:rsidR="0073511B" w:rsidRPr="0073511B" w:rsidRDefault="0073511B">
      <w:pPr>
        <w:rPr>
          <w:rFonts w:ascii="Times New Roman" w:hAnsi="Times New Roman" w:cs="Times New Roman"/>
          <w:sz w:val="28"/>
          <w:szCs w:val="28"/>
        </w:rPr>
      </w:pPr>
    </w:p>
    <w:p w14:paraId="3A61A87F" w14:textId="77777777" w:rsidR="00430192" w:rsidRPr="00392050" w:rsidRDefault="00430192">
      <w:pPr>
        <w:rPr>
          <w:rFonts w:ascii="Times New Roman" w:hAnsi="Times New Roman" w:cs="Times New Roman"/>
          <w:sz w:val="28"/>
          <w:szCs w:val="28"/>
        </w:rPr>
      </w:pPr>
    </w:p>
    <w:sectPr w:rsidR="00430192" w:rsidRPr="00392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50"/>
    <w:rsid w:val="00392050"/>
    <w:rsid w:val="00430192"/>
    <w:rsid w:val="0073511B"/>
    <w:rsid w:val="00B024AE"/>
    <w:rsid w:val="00D1403A"/>
    <w:rsid w:val="00E7051D"/>
    <w:rsid w:val="00ED77BF"/>
    <w:rsid w:val="00F2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3AE7"/>
  <w15:chartTrackingRefBased/>
  <w15:docId w15:val="{FE12DE70-7197-4D5D-A6D9-CA252CCF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2020-09-27T09:39:00Z</dcterms:created>
  <dcterms:modified xsi:type="dcterms:W3CDTF">2020-09-27T10:54:00Z</dcterms:modified>
</cp:coreProperties>
</file>